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r>
        <w:t xml:space="preserve"/>
      </w:r>
    </w:p>
    <w:p>
      <w:pPr>
        <w:spacing w:after="400"/>
      </w:pPr>
      <w:r>
        <w:t xml:space="preserve"/>
      </w:r>
    </w:p>
    <w:p>
      <w:pPr>
        <w:spacing w:after="120"/>
        <w:jc w:val="center"/>
      </w:pPr>
      <w:r>
        <w:rPr>
          <w:b/>
          <w:bCs/>
          <w:color w:val="2E5090"/>
          <w:sz w:val="48"/>
          <w:szCs w:val="48"/>
        </w:rPr>
        <w:t xml:space="preserve">GLOBAL BANKING ROADMAP</w:t>
      </w:r>
    </w:p>
    <w:p>
      <w:pPr>
        <w:spacing w:after="240"/>
        <w:jc w:val="center"/>
      </w:pPr>
      <w:r>
        <w:rPr>
          <w:b/>
          <w:bCs/>
          <w:color w:val="2E5090"/>
          <w:sz w:val="44"/>
          <w:szCs w:val="44"/>
        </w:rPr>
        <w:t xml:space="preserve">2026-2028</w:t>
      </w:r>
    </w:p>
    <w:p>
      <w:pPr>
        <w:spacing w:after="400"/>
        <w:jc w:val="center"/>
      </w:pPr>
      <w:r>
        <w:rPr>
          <w:sz w:val="24"/>
          <w:szCs w:val="24"/>
        </w:rPr>
        <w:t xml:space="preserve">Strategic Plan for International Banking Expansion</w:t>
      </w:r>
    </w:p>
    <w:p>
      <w:pPr>
        <w:spacing w:after="300"/>
      </w:pPr>
      <w:r>
        <w:t xml:space="preserve"/>
      </w:r>
    </w:p>
    <w:p>
      <w:pPr>
        <w:spacing w:after="80"/>
        <w:jc w:val="center"/>
      </w:pPr>
      <w:r>
        <w:rPr>
          <w:b/>
          <w:bCs/>
          <w:sz w:val="26"/>
          <w:szCs w:val="26"/>
        </w:rPr>
        <w:t xml:space="preserve">BDET Bank</w:t>
      </w:r>
    </w:p>
    <w:p>
      <w:pPr>
        <w:spacing w:after="160"/>
        <w:jc w:val="center"/>
      </w:pPr>
      <w:r>
        <w:rPr>
          <w:sz w:val="22"/>
          <w:szCs w:val="22"/>
        </w:rPr>
        <w:t xml:space="preserve">Banco Digital de Economia Tribal</w:t>
      </w:r>
    </w:p>
    <w:p>
      <w:pPr>
        <w:spacing w:after="300"/>
        <w:jc w:val="center"/>
      </w:pPr>
      <w:r>
        <w:rPr>
          <w:sz w:val="20"/>
          <w:szCs w:val="20"/>
        </w:rPr>
        <w:t xml:space="preserve">Sovereign Ierahkwa Central Bank (SICB) Subsidiary</w:t>
      </w:r>
    </w:p>
    <w:p>
      <w:pPr>
        <w:spacing w:after="80"/>
        <w:jc w:val="center"/>
      </w:pPr>
      <w:r>
        <w:rPr>
          <w:sz w:val="18"/>
          <w:szCs w:val="18"/>
        </w:rPr>
        <w:t xml:space="preserve">Banking License: SAGMFIN-20170923-001</w:t>
      </w:r>
    </w:p>
    <w:p>
      <w:pPr>
        <w:spacing w:after="400"/>
        <w:jc w:val="center"/>
      </w:pPr>
      <w:r>
        <w:rPr>
          <w:sz w:val="18"/>
          <w:szCs w:val="18"/>
        </w:rPr>
        <w:t xml:space="preserve">BIC: GEEIGB22XXX  |  LEI: 254900KLR17QIS1G6I63</w:t>
      </w:r>
    </w:p>
    <w:p>
      <w:pPr>
        <w:spacing w:after="300"/>
      </w:pPr>
      <w:r>
        <w:t xml:space="preserve"/>
      </w:r>
    </w:p>
    <w:p>
      <w:pPr>
        <w:spacing w:after="80"/>
        <w:jc w:val="center"/>
      </w:pPr>
      <w:r>
        <w:rPr>
          <w:b/>
          <w:bCs/>
          <w:sz w:val="20"/>
          <w:szCs w:val="20"/>
        </w:rPr>
        <w:t xml:space="preserve">April 12, 2026</w:t>
      </w:r>
    </w:p>
    <w:p>
      <w:pPr>
        <w:spacing w:after="80"/>
        <w:jc w:val="center"/>
      </w:pPr>
      <w:r>
        <w:rPr>
          <w:b/>
          <w:bCs/>
          <w:color w:val="CC0000"/>
          <w:sz w:val="20"/>
          <w:szCs w:val="20"/>
        </w:rPr>
        <w:t xml:space="preserve">Classification: CONFIDENTIAL</w:t>
      </w:r>
    </w:p>
    <w:p>
      <w:pPr>
        <w:spacing w:after="400"/>
        <w:jc w:val="center"/>
      </w:pPr>
      <w:r>
        <w:rPr>
          <w:sz w:val="18"/>
          <w:szCs w:val="18"/>
        </w:rPr>
        <w:t xml:space="preserve">Prepared by: Office of the Minister of Finance</w:t>
      </w:r>
    </w:p>
    <w:p>
      <w:r>
        <w:br w:type="page"/>
      </w:r>
    </w:p>
    <w:p>
      <w:pPr>
        <w:spacing w:after="200"/>
        <w:jc w:val="center"/>
      </w:pPr>
      <w:r>
        <w:rPr>
          <w:b/>
          <w:bCs/>
          <w:color w:val="2E5090"/>
          <w:sz w:val="20"/>
          <w:szCs w:val="20"/>
        </w:rPr>
        <w:t xml:space="preserve">CONFIDENTIALITY NOTICE</w:t>
      </w:r>
    </w:p>
    <w:p>
      <w:pPr>
        <w:spacing w:after="300"/>
      </w:pPr>
      <w:r>
        <w:t xml:space="preserve">This document contains confidential and proprietary information belonging to BDET Bank. Unauthorized access, use, disclosure, or reproduction is strictly prohibited. If received in error, notify sender immediately and destroy all copies.</w:t>
      </w:r>
    </w:p>
    <w:p>
      <w:r>
        <w:br w:type="page"/>
      </w:r>
    </w:p>
    <w:p>
      <w:pPr>
        <w:pStyle w:val="Heading1"/>
      </w:pPr>
      <w:r>
        <w:t xml:space="preserve">1. Executive Summary</w:t>
      </w:r>
    </w:p>
    <w:p>
      <w:pPr>
        <w:spacing w:after="200"/>
      </w:pPr>
      <w:r>
        <w:t xml:space="preserve">BDET Bank bridges sovereign indigenous finance with global banking infrastructure, establishing Ierahkwa Ne Kanienke as a recognized participant in international settlement networks.</w:t>
      </w:r>
    </w:p>
    <w:p>
      <w:pPr>
        <w:pStyle w:val="Heading2"/>
      </w:pPr>
      <w:r>
        <w:t xml:space="preserve">Current Position</w:t>
      </w:r>
    </w:p>
    <w:p>
      <w:pPr>
        <w:spacing w:after="120"/>
      </w:pPr>
      <w:r>
        <w:t xml:space="preserve">BDET Bank has achieved significant milestones:</w:t>
      </w:r>
    </w:p>
    <w:p>
      <w:pPr>
        <w:pStyle w:val="ListParagraph"/>
        <w:numPr>
          <w:ilvl w:val="0"/>
          <w:numId w:val="2"/>
        </w:numPr>
        <w:spacing w:after="80"/>
      </w:pPr>
      <w:r>
        <w:t xml:space="preserve">Total processed volume: $194.2M (EUR 94.2M via SWIFT + $100M via API)</w:t>
      </w:r>
    </w:p>
    <w:p>
      <w:pPr>
        <w:pStyle w:val="ListParagraph"/>
        <w:numPr>
          <w:ilvl w:val="0"/>
          <w:numId w:val="2"/>
        </w:numPr>
        <w:spacing w:after="80"/>
      </w:pPr>
      <w:r>
        <w:t xml:space="preserve">34 deployed tokens across native, institutional, and external markets</w:t>
      </w:r>
    </w:p>
    <w:p>
      <w:pPr>
        <w:pStyle w:val="ListParagraph"/>
        <w:numPr>
          <w:ilvl w:val="0"/>
          <w:numId w:val="2"/>
        </w:numPr>
        <w:spacing w:after="80"/>
      </w:pPr>
      <w:r>
        <w:t xml:space="preserve">MameyNode v3.0 blockchain infrastructure with 123,874 TPS capacity</w:t>
      </w:r>
    </w:p>
    <w:p>
      <w:pPr>
        <w:pStyle w:val="ListParagraph"/>
        <w:numPr>
          <w:ilvl w:val="0"/>
          <w:numId w:val="2"/>
        </w:numPr>
        <w:spacing w:after="200"/>
      </w:pPr>
      <w:r>
        <w:t xml:space="preserve">DCB DAES direct settlement with &lt;30-second final settlement</w:t>
      </w:r>
    </w:p>
    <w:p>
      <w:pPr>
        <w:pStyle w:val="Heading2"/>
      </w:pPr>
      <w:r>
        <w:t xml:space="preserve">Three-Year Vision</w:t>
      </w:r>
    </w:p>
    <w:p>
      <w:pPr>
        <w:spacing w:after="120"/>
      </w:pPr>
      <w:r>
        <w:t xml:space="preserve">By 2028, BDET Bank will establish itself as the premier settlement layer for sovereign nations and indigenous governments globally, with:</w:t>
      </w:r>
    </w:p>
    <w:p>
      <w:pPr>
        <w:pStyle w:val="ListParagraph"/>
        <w:numPr>
          <w:ilvl w:val="0"/>
          <w:numId w:val="2"/>
        </w:numPr>
        <w:spacing w:after="80"/>
      </w:pPr>
      <w:r>
        <w:t xml:space="preserve">Coverage: 200+ countries with active payment corridors</w:t>
      </w:r>
    </w:p>
    <w:p>
      <w:pPr>
        <w:pStyle w:val="ListParagraph"/>
        <w:numPr>
          <w:ilvl w:val="0"/>
          <w:numId w:val="2"/>
        </w:numPr>
        <w:spacing w:after="80"/>
      </w:pPr>
      <w:r>
        <w:t xml:space="preserve">Volume: $10B+ annual settlement volume</w:t>
      </w:r>
    </w:p>
    <w:p>
      <w:pPr>
        <w:pStyle w:val="ListParagraph"/>
        <w:numPr>
          <w:ilvl w:val="0"/>
          <w:numId w:val="2"/>
        </w:numPr>
        <w:spacing w:after="300"/>
      </w:pPr>
      <w:r>
        <w:t xml:space="preserve">Partners: 100+ active correspondent banks</w:t>
      </w:r>
    </w:p>
    <w:p>
      <w:r>
        <w:br w:type="page"/>
      </w:r>
    </w:p>
    <w:p>
      <w:pPr>
        <w:pStyle w:val="Heading1"/>
      </w:pPr>
      <w:r>
        <w:t xml:space="preserve">2. Current Infrastructure Assessment</w:t>
      </w:r>
    </w:p>
    <w:p>
      <w:pPr>
        <w:pStyle w:val="Heading2"/>
      </w:pPr>
      <w:r>
        <w:t xml:space="preserve">2.1 Settlement Infrastructure</w:t>
      </w:r>
    </w:p>
    <w:p>
      <w:pPr>
        <w:pStyle w:val="ListParagraph"/>
        <w:numPr>
          <w:ilvl w:val="0"/>
          <w:numId w:val="2"/>
        </w:numPr>
        <w:spacing w:after="80"/>
      </w:pPr>
      <w:r>
        <w:t xml:space="preserve">DCB Direct (DAES 256): 185.229.57.76:443, &lt;30sec settlement, 24/7/365 99.99% uptime</w:t>
      </w:r>
    </w:p>
    <w:p>
      <w:pPr>
        <w:pStyle w:val="ListParagraph"/>
        <w:numPr>
          <w:ilvl w:val="0"/>
          <w:numId w:val="2"/>
        </w:numPr>
        <w:spacing w:after="80"/>
      </w:pPr>
      <w:r>
        <w:t xml:space="preserve">SWIFT: MT103, MT103.CASH, MT202COV all LIVE</w:t>
      </w:r>
    </w:p>
    <w:p>
      <w:pPr>
        <w:pStyle w:val="ListParagraph"/>
        <w:numPr>
          <w:ilvl w:val="0"/>
          <w:numId w:val="2"/>
        </w:numPr>
        <w:spacing w:after="80"/>
      </w:pPr>
      <w:r>
        <w:t xml:space="preserve">ISO 20022: API 3.1 with pacs.008.001.08 compliance, ready for 2026 migration</w:t>
      </w:r>
    </w:p>
    <w:p>
      <w:pPr>
        <w:pStyle w:val="ListParagraph"/>
        <w:numPr>
          <w:ilvl w:val="0"/>
          <w:numId w:val="2"/>
        </w:numPr>
        <w:spacing w:after="200"/>
      </w:pPr>
      <w:r>
        <w:t xml:space="preserve">Blockchain: MameyNode v3.0 with 123,874 TPS, 8 validators, sub-second finality</w:t>
      </w:r>
    </w:p>
    <w:p>
      <w:pPr>
        <w:pStyle w:val="Heading2"/>
      </w:pPr>
      <w:r>
        <w:t xml:space="preserve">2.2 Digital Assets</w:t>
      </w:r>
    </w:p>
    <w:p>
      <w:pPr>
        <w:pStyle w:val="ListParagraph"/>
        <w:numPr>
          <w:ilvl w:val="0"/>
          <w:numId w:val="2"/>
        </w:numPr>
        <w:spacing w:after="80"/>
      </w:pPr>
      <w:r>
        <w:t xml:space="preserve">34 tokens: 6 native, 9 IGT, 4 banking, 15 external partnerships</w:t>
      </w:r>
    </w:p>
    <w:p>
      <w:pPr>
        <w:pStyle w:val="ListParagraph"/>
        <w:numPr>
          <w:ilvl w:val="0"/>
          <w:numId w:val="2"/>
        </w:numPr>
        <w:spacing w:after="80"/>
      </w:pPr>
      <w:r>
        <w:t xml:space="preserve">Key metrics: XRBG at $151.46, IGCM at $4,700, WMP at $47</w:t>
      </w:r>
    </w:p>
    <w:p>
      <w:pPr>
        <w:pStyle w:val="ListParagraph"/>
        <w:numPr>
          <w:ilvl w:val="0"/>
          <w:numId w:val="2"/>
        </w:numPr>
        <w:spacing w:after="200"/>
      </w:pPr>
      <w:r>
        <w:t xml:space="preserve">TMVC Treasury: $754.7B in DAES custody (3 rubies = $1.585B + PAXG/XAUt gold)</w:t>
      </w:r>
    </w:p>
    <w:p>
      <w:pPr>
        <w:pStyle w:val="Heading2"/>
      </w:pPr>
      <w:r>
        <w:t xml:space="preserve">2.3 Technology Stack</w:t>
      </w:r>
    </w:p>
    <w:p>
      <w:pPr>
        <w:pStyle w:val="ListParagraph"/>
        <w:numPr>
          <w:ilvl w:val="0"/>
          <w:numId w:val="2"/>
        </w:numPr>
        <w:spacing w:after="80"/>
      </w:pPr>
      <w:r>
        <w:t xml:space="preserve">19 production servers across 2 racks, ~40TB storage, ~300GB RAM total</w:t>
      </w:r>
    </w:p>
    <w:p>
      <w:pPr>
        <w:pStyle w:val="ListParagraph"/>
        <w:numPr>
          <w:ilvl w:val="0"/>
          <w:numId w:val="2"/>
        </w:numPr>
        <w:spacing w:after="80"/>
      </w:pPr>
      <w:r>
        <w:t xml:space="preserve">Primary datacenter: ierahkwa-portal with Cloudflare tunnel delivery</w:t>
      </w:r>
    </w:p>
    <w:p>
      <w:pPr>
        <w:pStyle w:val="ListParagraph"/>
        <w:numPr>
          <w:ilvl w:val="0"/>
          <w:numId w:val="2"/>
        </w:numPr>
        <w:spacing w:after="200"/>
      </w:pPr>
      <w:r>
        <w:t xml:space="preserve">Production domain: futurebdetbank.com</w:t>
      </w:r>
    </w:p>
    <w:p>
      <w:pPr>
        <w:pStyle w:val="Heading2"/>
      </w:pPr>
      <w:r>
        <w:t xml:space="preserve">2.4 Compliance</w:t>
      </w:r>
    </w:p>
    <w:p>
      <w:pPr>
        <w:pStyle w:val="ListParagraph"/>
        <w:numPr>
          <w:ilvl w:val="0"/>
          <w:numId w:val="2"/>
        </w:numPr>
        <w:spacing w:after="300"/>
      </w:pPr>
      <w:r>
        <w:t xml:space="preserve">ISO 27001, ISO 20022, FATF, KYC/AML (100/100), GDPR, SOC 2, PCI-DSS Level 1, Basel III</w:t>
      </w:r>
    </w:p>
    <w:p>
      <w:r>
        <w:br w:type="page"/>
      </w:r>
    </w:p>
    <w:p>
      <w:pPr>
        <w:pStyle w:val="Heading1"/>
      </w:pPr>
      <w:r>
        <w:t xml:space="preserve">3. Phase 1 - Foundation (Q1-Q2 2026)</w:t>
      </w:r>
    </w:p>
    <w:p>
      <w:pPr>
        <w:spacing w:after="120"/>
      </w:pPr>
      <w:r>
        <w:t xml:space="preserve">Status: COMPLETED/IN PROGRESS</w:t>
      </w:r>
    </w:p>
    <w:p>
      <w:pPr>
        <w:pStyle w:val="Heading2"/>
      </w:pPr>
      <w:r>
        <w:t xml:space="preserve">Completed</w:t>
      </w:r>
    </w:p>
    <w:p>
      <w:pPr>
        <w:pStyle w:val="ListParagraph"/>
        <w:numPr>
          <w:ilvl w:val="0"/>
          <w:numId w:val="2"/>
        </w:numPr>
        <w:spacing w:after="80"/>
      </w:pPr>
      <w:r>
        <w:t xml:space="preserve">DCB INDA Direct Settlement - LIVE, API 3.1 - LIVE, MameyNode v3.0 - LIVE</w:t>
      </w:r>
    </w:p>
    <w:p>
      <w:pPr>
        <w:pStyle w:val="ListParagraph"/>
        <w:numPr>
          <w:ilvl w:val="0"/>
          <w:numId w:val="2"/>
        </w:numPr>
        <w:spacing w:after="80"/>
      </w:pPr>
      <w:r>
        <w:t xml:space="preserve">34 tokens deployed, EUR 94.2M SWIFT, $100M API volume</w:t>
      </w:r>
    </w:p>
    <w:p>
      <w:pPr>
        <w:pStyle w:val="ListParagraph"/>
        <w:numPr>
          <w:ilvl w:val="0"/>
          <w:numId w:val="2"/>
        </w:numPr>
        <w:spacing w:after="120"/>
      </w:pPr>
      <w:r>
        <w:t xml:space="preserve">Bank platform (18 sections), Monetization platform, Token audit, 3 callback letters</w:t>
      </w:r>
    </w:p>
    <w:p>
      <w:pPr>
        <w:pStyle w:val="Heading2"/>
      </w:pPr>
      <w:r>
        <w:t xml:space="preserve">In Progress</w:t>
      </w:r>
    </w:p>
    <w:p>
      <w:pPr>
        <w:pStyle w:val="ListParagraph"/>
        <w:numPr>
          <w:ilvl w:val="0"/>
          <w:numId w:val="2"/>
        </w:numPr>
        <w:spacing w:after="300"/>
      </w:pPr>
      <w:r>
        <w:t xml:space="preserve">Global Banking Hub, FX Engine v1.0, Callback execution, Cloudflare, 5 correspondent agreements</w:t>
      </w:r>
    </w:p>
    <w:p>
      <w:r>
        <w:br w:type="page"/>
      </w:r>
    </w:p>
    <w:p>
      <w:pPr>
        <w:pStyle w:val="Heading1"/>
      </w:pPr>
      <w:r>
        <w:t xml:space="preserve">4. Phase 2 - Expansion (Q3-Q4 2026)</w:t>
      </w:r>
    </w:p>
    <w:p>
      <w:pPr>
        <w:pStyle w:val="Heading2"/>
      </w:pPr>
      <w:r>
        <w:t xml:space="preserve">4.1 SWIFT gpi Integration</w:t>
      </w:r>
    </w:p>
    <w:p>
      <w:pPr>
        <w:pStyle w:val="ListParagraph"/>
        <w:numPr>
          <w:ilvl w:val="0"/>
          <w:numId w:val="2"/>
        </w:numPr>
        <w:spacing w:after="120"/>
      </w:pPr>
      <w:r>
        <w:t xml:space="preserve">Real-time SWIFT gpi Tracker integration, 95% same-day settlement SLA, MT760/MT700 support</w:t>
      </w:r>
    </w:p>
    <w:p>
      <w:pPr>
        <w:pStyle w:val="Heading2"/>
      </w:pPr>
      <w:r>
        <w:t xml:space="preserve">4.2 Correspondent Banking</w:t>
      </w:r>
    </w:p>
    <w:p>
      <w:pPr>
        <w:pStyle w:val="ListParagraph"/>
        <w:numPr>
          <w:ilvl w:val="0"/>
          <w:numId w:val="2"/>
        </w:numPr>
        <w:spacing w:after="80"/>
      </w:pPr>
      <w:r>
        <w:t xml:space="preserve">Target: 25 correspondent banks across Americas, Europe, Asia-Pacific, Middle East</w:t>
      </w:r>
    </w:p>
    <w:p>
      <w:pPr>
        <w:pStyle w:val="ListParagraph"/>
        <w:numPr>
          <w:ilvl w:val="0"/>
          <w:numId w:val="2"/>
        </w:numPr>
        <w:spacing w:after="120"/>
      </w:pPr>
      <w:r>
        <w:t xml:space="preserve">Key targets: HSBC, Standard Chartered, MUFG, Emirates NBD</w:t>
      </w:r>
    </w:p>
    <w:p>
      <w:pPr>
        <w:pStyle w:val="Heading2"/>
      </w:pPr>
      <w:r>
        <w:t xml:space="preserve">4.3 Cross-Border Corridors</w:t>
      </w:r>
    </w:p>
    <w:p>
      <w:pPr>
        <w:pStyle w:val="ListParagraph"/>
        <w:numPr>
          <w:ilvl w:val="0"/>
          <w:numId w:val="2"/>
        </w:numPr>
        <w:spacing w:after="80"/>
      </w:pPr>
      <w:r>
        <w:t xml:space="preserve">15 new payment corridors: USA-Europe, USA-Asia, Europe-Middle East, LATAM-USA</w:t>
      </w:r>
    </w:p>
    <w:p>
      <w:pPr>
        <w:pStyle w:val="ListParagraph"/>
        <w:numPr>
          <w:ilvl w:val="0"/>
          <w:numId w:val="2"/>
        </w:numPr>
        <w:spacing w:after="120"/>
      </w:pPr>
      <w:r>
        <w:t xml:space="preserve">Volume target: $500M/quarter</w:t>
      </w:r>
    </w:p>
    <w:p>
      <w:pPr>
        <w:pStyle w:val="Heading2"/>
      </w:pPr>
      <w:r>
        <w:t xml:space="preserve">4.4 Mobile Banking</w:t>
      </w:r>
    </w:p>
    <w:p>
      <w:pPr>
        <w:pStyle w:val="ListParagraph"/>
        <w:numPr>
          <w:ilvl w:val="0"/>
          <w:numId w:val="2"/>
        </w:numPr>
        <w:spacing w:after="120"/>
      </w:pPr>
      <w:r>
        <w:t xml:space="preserve">Trust Wallet integration, Mobile app v1.0 (iOS/Android), WalletConnect v2</w:t>
      </w:r>
    </w:p>
    <w:p>
      <w:pPr>
        <w:pStyle w:val="Heading2"/>
      </w:pPr>
      <w:r>
        <w:t xml:space="preserve">4.5 Trade Finance</w:t>
      </w:r>
    </w:p>
    <w:p>
      <w:pPr>
        <w:pStyle w:val="ListParagraph"/>
        <w:numPr>
          <w:ilvl w:val="0"/>
          <w:numId w:val="2"/>
        </w:numPr>
        <w:spacing w:after="300"/>
      </w:pPr>
      <w:r>
        <w:t xml:space="preserve">Letter of Credit, Bank Guarantees, Standby LC issuance platforms</w:t>
      </w:r>
    </w:p>
    <w:p>
      <w:r>
        <w:br w:type="page"/>
      </w:r>
    </w:p>
    <w:p>
      <w:pPr>
        <w:pStyle w:val="Heading1"/>
      </w:pPr>
      <w:r>
        <w:t xml:space="preserve">5. Phase 3 - Global Reach (Q1-Q2 2027)</w:t>
      </w:r>
    </w:p>
    <w:p>
      <w:pPr>
        <w:pStyle w:val="Heading2"/>
      </w:pPr>
      <w:r>
        <w:t xml:space="preserve">5.1 CBDC Bridge</w:t>
      </w:r>
    </w:p>
    <w:p>
      <w:pPr>
        <w:pStyle w:val="ListParagraph"/>
        <w:numPr>
          <w:ilvl w:val="0"/>
          <w:numId w:val="2"/>
        </w:numPr>
        <w:spacing w:after="80"/>
      </w:pPr>
      <w:r>
        <w:t xml:space="preserve">Pilot: Sand Dollar (Bahamas), eNaira (Nigeria)</w:t>
      </w:r>
    </w:p>
    <w:p>
      <w:pPr>
        <w:pStyle w:val="ListParagraph"/>
        <w:numPr>
          <w:ilvl w:val="0"/>
          <w:numId w:val="2"/>
        </w:numPr>
        <w:spacing w:after="120"/>
      </w:pPr>
      <w:r>
        <w:t xml:space="preserve">Research: Digital Euro (ECB), Digital Rupee (RBI), Multi-CBDC interoperability</w:t>
      </w:r>
    </w:p>
    <w:p>
      <w:pPr>
        <w:pStyle w:val="Heading2"/>
      </w:pPr>
      <w:r>
        <w:t xml:space="preserve">5.2 Regulatory Expansion</w:t>
      </w:r>
    </w:p>
    <w:p>
      <w:pPr>
        <w:pStyle w:val="ListParagraph"/>
        <w:numPr>
          <w:ilvl w:val="0"/>
          <w:numId w:val="2"/>
        </w:numPr>
        <w:spacing w:after="120"/>
      </w:pPr>
      <w:r>
        <w:t xml:space="preserve">PSD3 (EU), Multi-jurisdiction (UK FCA, Singapore MAS, UAE DFSA), EMI license (Europe)</w:t>
      </w:r>
    </w:p>
    <w:p>
      <w:pPr>
        <w:pStyle w:val="Heading2"/>
      </w:pPr>
      <w:r>
        <w:t xml:space="preserve">5.3 Network Growth</w:t>
      </w:r>
    </w:p>
    <w:p>
      <w:pPr>
        <w:pStyle w:val="ListParagraph"/>
        <w:numPr>
          <w:ilvl w:val="0"/>
          <w:numId w:val="2"/>
        </w:numPr>
        <w:spacing w:after="300"/>
      </w:pPr>
      <w:r>
        <w:t xml:space="preserve">50 corridors, 50+ banks, DeFi bridge (Uniswap V4, 1inch), $1B quarterly volume</w:t>
      </w:r>
    </w:p>
    <w:p>
      <w:r>
        <w:br w:type="page"/>
      </w:r>
    </w:p>
    <w:p>
      <w:pPr>
        <w:pStyle w:val="Heading1"/>
      </w:pPr>
      <w:r>
        <w:t xml:space="preserve">6. Phase 4 - Dominance (Q3 2027-2028)</w:t>
      </w:r>
    </w:p>
    <w:p>
      <w:pPr>
        <w:pStyle w:val="Heading2"/>
      </w:pPr>
      <w:r>
        <w:t xml:space="preserve">6.1 CBDC Interoperability</w:t>
      </w:r>
    </w:p>
    <w:p>
      <w:pPr>
        <w:pStyle w:val="ListParagraph"/>
        <w:numPr>
          <w:ilvl w:val="0"/>
          <w:numId w:val="2"/>
        </w:numPr>
        <w:spacing w:after="120"/>
      </w:pPr>
      <w:r>
        <w:t xml:space="preserve">mBridge (BIS), Cross-CBDC atomic swaps, Central bank partnerships</w:t>
      </w:r>
    </w:p>
    <w:p>
      <w:pPr>
        <w:pStyle w:val="Heading2"/>
      </w:pPr>
      <w:r>
        <w:t xml:space="preserve">6.2 Sovereign Nation Network</w:t>
      </w:r>
    </w:p>
    <w:p>
      <w:pPr>
        <w:pStyle w:val="ListParagraph"/>
        <w:numPr>
          <w:ilvl w:val="0"/>
          <w:numId w:val="2"/>
        </w:numPr>
        <w:spacing w:after="120"/>
      </w:pPr>
      <w:r>
        <w:t xml:space="preserve">Onboard 10+ nations, White-label banking, Shared DAES infrastructure</w:t>
      </w:r>
    </w:p>
    <w:p>
      <w:pPr>
        <w:pStyle w:val="Heading2"/>
      </w:pPr>
      <w:r>
        <w:t xml:space="preserve">6.3 Global Metrics</w:t>
      </w:r>
    </w:p>
    <w:p>
      <w:pPr>
        <w:pStyle w:val="ListParagraph"/>
        <w:numPr>
          <w:ilvl w:val="0"/>
          <w:numId w:val="2"/>
        </w:numPr>
        <w:spacing w:after="120"/>
      </w:pPr>
      <w:r>
        <w:t xml:space="preserve">100+ banks, 200+ countries, $10B+ annual, 500+ API partners</w:t>
      </w:r>
    </w:p>
    <w:p>
      <w:pPr>
        <w:pStyle w:val="Heading2"/>
      </w:pPr>
      <w:r>
        <w:t xml:space="preserve">6.4 Advanced Services</w:t>
      </w:r>
    </w:p>
    <w:p>
      <w:pPr>
        <w:pStyle w:val="ListParagraph"/>
        <w:numPr>
          <w:ilvl w:val="0"/>
          <w:numId w:val="2"/>
        </w:numPr>
        <w:spacing w:after="300"/>
      </w:pPr>
      <w:r>
        <w:t xml:space="preserve">Sovereign wealth funds, Commodity trading, Green bonds, Heritage tokenization</w:t>
      </w:r>
    </w:p>
    <w:p>
      <w:r>
        <w:br w:type="page"/>
      </w:r>
    </w:p>
    <w:p>
      <w:pPr>
        <w:pStyle w:val="Heading1"/>
      </w:pPr>
      <w:r>
        <w:t xml:space="preserve">7. Financial Projections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b/>
                <w:bCs/>
                <w:color w:val="FFFFFF"/>
              </w:rPr>
              <w:t xml:space="preserve">Revenue Stream</w:t>
            </w:r>
          </w:p>
        </w:tc>
        <w:tc>
          <w:tcPr>
            <w:tcW w:type="dxa" w:w="468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b/>
                <w:bCs/>
                <w:color w:val="FFFFFF"/>
              </w:rPr>
              <w:t xml:space="preserve">Amount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API Fees (3.1)</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$2.4M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Settlement Fees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$847K</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Exchange Services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$1.2M</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Custody Services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$380K</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KYC/AML Processing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$156K</w:t>
            </w:r>
          </w:p>
        </w:tc>
      </w:tr>
      <w:tr>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TOTAL 2026</w:t>
            </w:r>
          </w:p>
        </w:tc>
        <w:tc>
          <w:tcPr>
            <w:tcW w:type="dxa" w:w="468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rPr>
              <w:t xml:space="preserve">$4.98M</w:t>
            </w:r>
          </w:p>
        </w:tc>
      </w:tr>
    </w:tbl>
    <w:p>
      <w:pPr>
        <w:spacing w:after="200"/>
      </w:pPr>
    </w:p>
    <w:p>
      <w:pPr>
        <w:spacing w:after="300"/>
      </w:pPr>
      <w:r>
        <w:t xml:space="preserve">2027 Target: $25M (5x growth)  |  2028 Target: $100M (20x baseline)</w:t>
      </w:r>
    </w:p>
    <w:p>
      <w:r>
        <w:br w:type="page"/>
      </w:r>
    </w:p>
    <w:p>
      <w:pPr>
        <w:pStyle w:val="Heading1"/>
      </w:pPr>
      <w:r>
        <w:t xml:space="preserve">8. Risk Management</w:t>
      </w:r>
    </w:p>
    <w:p>
      <w:pPr>
        <w:pStyle w:val="Heading2"/>
      </w:pPr>
      <w:r>
        <w:t xml:space="preserve">Regulatory Risk</w:t>
      </w:r>
    </w:p>
    <w:p>
      <w:pPr>
        <w:pStyle w:val="ListParagraph"/>
        <w:numPr>
          <w:ilvl w:val="0"/>
          <w:numId w:val="2"/>
        </w:numPr>
        <w:spacing w:after="120"/>
      </w:pPr>
      <w:r>
        <w:t xml:space="preserve">Multi-jurisdiction monitoring, Quarterly audits, Dedicated regulatory team</w:t>
      </w:r>
    </w:p>
    <w:p>
      <w:pPr>
        <w:pStyle w:val="Heading2"/>
      </w:pPr>
      <w:r>
        <w:t xml:space="preserve">Technology Risk</w:t>
      </w:r>
    </w:p>
    <w:p>
      <w:pPr>
        <w:pStyle w:val="ListParagraph"/>
        <w:numPr>
          <w:ilvl w:val="0"/>
          <w:numId w:val="2"/>
        </w:numPr>
        <w:spacing w:after="120"/>
      </w:pPr>
      <w:r>
        <w:t xml:space="preserve">Redundant infrastructure, Disaster recovery, Security audits</w:t>
      </w:r>
    </w:p>
    <w:p>
      <w:pPr>
        <w:pStyle w:val="Heading2"/>
      </w:pPr>
      <w:r>
        <w:t xml:space="preserve">Counterparty Risk</w:t>
      </w:r>
    </w:p>
    <w:p>
      <w:pPr>
        <w:pStyle w:val="ListParagraph"/>
        <w:numPr>
          <w:ilvl w:val="0"/>
          <w:numId w:val="2"/>
        </w:numPr>
        <w:spacing w:after="120"/>
      </w:pPr>
      <w:r>
        <w:t xml:space="preserve">Correspondent due diligence, Credit limits, Regular assessments</w:t>
      </w:r>
    </w:p>
    <w:p>
      <w:pPr>
        <w:pStyle w:val="Heading2"/>
      </w:pPr>
      <w:r>
        <w:t xml:space="preserve">Market Risk</w:t>
      </w:r>
    </w:p>
    <w:p>
      <w:pPr>
        <w:pStyle w:val="ListParagraph"/>
        <w:numPr>
          <w:ilvl w:val="0"/>
          <w:numId w:val="2"/>
        </w:numPr>
        <w:spacing w:after="120"/>
      </w:pPr>
      <w:r>
        <w:t xml:space="preserve">FX hedging, Token volatility management, Mark-to-market</w:t>
      </w:r>
    </w:p>
    <w:p>
      <w:pPr>
        <w:pStyle w:val="Heading2"/>
      </w:pPr>
      <w:r>
        <w:t xml:space="preserve">Operational Risk</w:t>
      </w:r>
    </w:p>
    <w:p>
      <w:pPr>
        <w:pStyle w:val="ListParagraph"/>
        <w:numPr>
          <w:ilvl w:val="0"/>
          <w:numId w:val="2"/>
        </w:numPr>
        <w:spacing w:after="300"/>
      </w:pPr>
      <w:r>
        <w:t xml:space="preserve">24/7 monitoring, Business continuity, Security training</w:t>
      </w:r>
    </w:p>
    <w:p>
      <w:r>
        <w:br w:type="page"/>
      </w:r>
    </w:p>
    <w:p>
      <w:pPr>
        <w:pStyle w:val="Heading1"/>
      </w:pPr>
      <w:r>
        <w:t xml:space="preserve">9. Governance</w:t>
      </w:r>
    </w:p>
    <w:p>
      <w:pPr>
        <w:pStyle w:val="Heading2"/>
      </w:pPr>
      <w:r>
        <w:t xml:space="preserve">Leadership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b/>
                <w:bCs/>
                <w:color w:val="FFFFFF"/>
              </w:rPr>
              <w:t xml:space="preserve">Name</w:t>
            </w:r>
          </w:p>
        </w:tc>
        <w:tc>
          <w:tcPr>
            <w:tcW w:type="dxa" w:w="312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b/>
                <w:bCs/>
                <w:color w:val="FFFFFF"/>
              </w:rPr>
              <w:t xml:space="preserve">Title</w:t>
            </w:r>
          </w:p>
        </w:tc>
        <w:tc>
          <w:tcPr>
            <w:tcW w:type="dxa" w:w="312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b/>
                <w:bCs/>
                <w:color w:val="FFFFFF"/>
              </w:rPr>
              <w:t xml:space="preserve">Function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Tu'ilzish</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CEO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Executive Leadership</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TakodaAhanu</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CFO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Finance &amp; Government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 Ha Keh</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CTO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Technology &amp; Infrastructure</w:t>
            </w:r>
          </w:p>
        </w:tc>
      </w:tr>
    </w:tbl>
    <w:p>
      <w:pPr>
        <w:spacing w:after="200"/>
      </w:pPr>
    </w:p>
    <w:p>
      <w:pPr>
        <w:pStyle w:val="Heading2"/>
      </w:pPr>
      <w:r>
        <w:t xml:space="preserve">Oversight</w:t>
      </w:r>
    </w:p>
    <w:p>
      <w:pPr>
        <w:pStyle w:val="ListParagraph"/>
        <w:numPr>
          <w:ilvl w:val="0"/>
          <w:numId w:val="2"/>
        </w:numPr>
        <w:spacing w:after="300"/>
      </w:pPr>
      <w:r>
        <w:t xml:space="preserve">Sovereign: Ierahkwa Ne Kanienke Government  |  Audit: Annual review  |  Board: Quarterly</w:t>
      </w:r>
    </w:p>
    <w:p>
      <w:pPr>
        <w:spacing w:after="300"/>
      </w:pPr>
    </w:p>
    <w:p>
      <w:pPr>
        <w:spacing w:after="200"/>
      </w:pPr>
      <w:r>
        <w:rPr>
          <w:b/>
          <w:bCs/>
          <w:color w:val="2E5090"/>
          <w:sz w:val="20"/>
          <w:szCs w:val="20"/>
        </w:rPr>
        <w:t xml:space="preserve">APPROVED AND AUTHORIZED</w:t>
      </w:r>
    </w:p>
    <w:p>
      <w:pPr>
        <w:spacing w:after="40"/>
      </w:pPr>
      <w:r>
        <w:rPr>
          <w:b/>
          <w:bCs/>
          <w:sz w:val="22"/>
          <w:szCs w:val="22"/>
        </w:rPr>
        <w:t xml:space="preserve">Tu'ilzish</w:t>
      </w:r>
    </w:p>
    <w:p>
      <w:pPr>
        <w:spacing w:after="200"/>
      </w:pPr>
      <w:r>
        <w:rPr>
          <w:sz w:val="18"/>
          <w:szCs w:val="18"/>
        </w:rPr>
        <w:t xml:space="preserve">Chief Executive Officer, BDET Bank</w:t>
      </w:r>
    </w:p>
    <w:p>
      <w:pPr>
        <w:spacing w:after="40"/>
      </w:pPr>
      <w:r>
        <w:rPr>
          <w:b/>
          <w:bCs/>
          <w:sz w:val="22"/>
          <w:szCs w:val="22"/>
        </w:rPr>
        <w:t xml:space="preserve">TakodaAhanu (Takoda Ahanu)</w:t>
      </w:r>
    </w:p>
    <w:p>
      <w:pPr>
        <w:spacing w:after="200"/>
      </w:pPr>
      <w:r>
        <w:rPr>
          <w:sz w:val="18"/>
          <w:szCs w:val="18"/>
        </w:rPr>
        <w:t xml:space="preserve">Chief Financial Officer &amp; Minister of Finance, Ierahkwa Ne Kanienke</w:t>
      </w:r>
    </w:p>
    <w:p>
      <w:pPr>
        <w:spacing w:after="40"/>
      </w:pPr>
      <w:r>
        <w:rPr>
          <w:b/>
          <w:bCs/>
          <w:sz w:val="22"/>
          <w:szCs w:val="22"/>
        </w:rPr>
        <w:t xml:space="preserve">Te Ha Keh</w:t>
      </w:r>
    </w:p>
    <w:p>
      <w:pPr>
        <w:spacing w:after="300"/>
      </w:pPr>
      <w:r>
        <w:rPr>
          <w:sz w:val="18"/>
          <w:szCs w:val="18"/>
        </w:rPr>
        <w:t xml:space="preserve">Chief Technology Officer, BDET Bank</w:t>
      </w:r>
    </w:p>
    <w:p>
      <w:pPr>
        <w:spacing w:after="40"/>
        <w:jc w:val="center"/>
      </w:pPr>
      <w:r>
        <w:rPr>
          <w:sz w:val="16"/>
          <w:szCs w:val="16"/>
        </w:rPr>
        <w:t xml:space="preserve">Document Date: April 12, 2026</w:t>
      </w:r>
    </w:p>
    <w:p>
      <w:pPr>
        <w:jc w:val="center"/>
      </w:pPr>
      <w:r>
        <w:rPr>
          <w:b/>
          <w:bCs/>
          <w:color w:val="CC0000"/>
          <w:sz w:val="16"/>
          <w:szCs w:val="16"/>
        </w:rPr>
        <w:t xml:space="preserve">Classification: CONFIDENTIAL</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090" w:sz="6"/>
      </w:pBd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 BDET Global Banking Roadmap 2026-2028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090" w:sz="6"/>
      </w:pBdr>
      <w:spacing w:after="80"/>
      <w:jc w:val="center"/>
    </w:pPr>
    <w:r>
      <w:rPr>
        <w:b/>
        <w:bCs/>
        <w:color w:val="CC0000"/>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decimal"/>
      <w:lvlText w:val="%2."/>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2E5090"/>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2E509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2026-04-12T22:19:32.969Z</dcterms:created>
  <dcterms:modified xsi:type="dcterms:W3CDTF">2026-04-12T22:19:32.970Z</dcterms:modified>
</cp:coreProperties>
</file>

<file path=docProps/custom.xml><?xml version="1.0" encoding="utf-8"?>
<Properties xmlns="http://schemas.openxmlformats.org/officeDocument/2006/custom-properties" xmlns:vt="http://schemas.openxmlformats.org/officeDocument/2006/docPropsVTypes"/>
</file>