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jc w:val="center"/>
      </w:pPr>
      <w:r>
        <w:rPr>
          <w:rFonts w:ascii="Arial" w:cs="Arial" w:eastAsia="Arial" w:hAnsi="Arial"/>
          <w:b/>
          <w:bCs/>
          <w:color w:val="1B5E20"/>
          <w:sz w:val="28"/>
          <w:szCs w:val="28"/>
        </w:rPr>
        <w:t xml:space="preserve">IRREVOCABLE INSTRUCTION FOR FUND TRANSFER</w:t>
      </w:r>
    </w:p>
    <w:p>
      <w:pPr>
        <w:spacing w:after="0"/>
        <w:jc w:val="center"/>
      </w:pPr>
      <w:r>
        <w:rPr>
          <w:rFonts w:ascii="Arial" w:cs="Arial" w:eastAsia="Arial" w:hAnsi="Arial"/>
          <w:b/>
          <w:bCs/>
          <w:color w:val="333333"/>
          <w:sz w:val="24"/>
          <w:szCs w:val="24"/>
        </w:rPr>
        <w:t xml:space="preserve">CALLBACK &amp; REDIRECTION OF SETTLED FUNDS</w:t>
      </w:r>
    </w:p>
    <w:p>
      <w:pPr>
        <w:spacing w:after="200"/>
        <w:jc w:val="center"/>
      </w:pPr>
      <w:r>
        <w:rPr>
          <w:rFonts w:ascii="Arial" w:cs="Arial" w:eastAsia="Arial" w:hAnsi="Arial"/>
          <w:i/>
          <w:iCs/>
          <w:color w:val="666666"/>
          <w:sz w:val="18"/>
          <w:szCs w:val="18"/>
        </w:rPr>
        <w:t xml:space="preserve">Reference: MT202COV/CALLBACK/EUR49200000/2026</w:t>
      </w:r>
    </w:p>
    <w:p>
      <w:pPr>
        <w:spacing w:after="0"/>
      </w:pPr>
      <w:r>
        <w:rPr>
          <w:rFonts w:ascii="Arial" w:cs="Arial" w:eastAsia="Arial" w:hAnsi="Arial"/>
          <w:b/>
          <w:bCs/>
          <w:sz w:val="20"/>
          <w:szCs w:val="20"/>
        </w:rPr>
        <w:t xml:space="preserve">Date: April 12, 2026</w:t>
      </w:r>
    </w:p>
    <w:p>
      <w:pPr>
        <w:spacing w:after="200"/>
      </w:pPr>
      <w:r>
        <w:rPr>
          <w:rFonts w:ascii="Arial" w:cs="Arial" w:eastAsia="Arial" w:hAnsi="Arial"/>
          <w:sz w:val="20"/>
          <w:szCs w:val="20"/>
        </w:rPr>
        <w:t xml:space="preserve">Original UETR: 8BF4261A-E38C-4FFC-B730-6DAAF5288B34</w:t>
      </w:r>
    </w:p>
    <w:p>
      <w:pPr>
        <w:spacing w:after="0"/>
      </w:pPr>
      <w:r>
        <w:rPr>
          <w:rFonts w:ascii="Arial" w:cs="Arial" w:eastAsia="Arial" w:hAnsi="Arial"/>
          <w:b/>
          <w:bCs/>
          <w:color w:val="1B5E20"/>
          <w:sz w:val="20"/>
          <w:szCs w:val="20"/>
        </w:rPr>
        <w:t xml:space="preserve">TO:</w:t>
      </w:r>
    </w:p>
    <w:p>
      <w:pPr>
        <w:spacing w:after="0"/>
      </w:pPr>
      <w:r>
        <w:rPr>
          <w:rFonts w:ascii="Arial" w:cs="Arial" w:eastAsia="Arial" w:hAnsi="Arial"/>
          <w:b/>
          <w:bCs/>
          <w:sz w:val="20"/>
          <w:szCs w:val="20"/>
        </w:rPr>
        <w:t xml:space="preserve">Bank of America, N.A.</w:t>
      </w:r>
    </w:p>
    <w:p>
      <w:pPr>
        <w:spacing w:after="0"/>
      </w:pPr>
      <w:r>
        <w:rPr>
          <w:rFonts w:ascii="Arial" w:cs="Arial" w:eastAsia="Arial" w:hAnsi="Arial"/>
          <w:sz w:val="20"/>
          <w:szCs w:val="20"/>
        </w:rPr>
        <w:t xml:space="preserve">SWIFT: BOFAUS3N</w:t>
      </w:r>
    </w:p>
    <w:p>
      <w:pPr>
        <w:spacing w:after="0"/>
      </w:pPr>
      <w:r>
        <w:rPr>
          <w:rFonts w:ascii="Arial" w:cs="Arial" w:eastAsia="Arial" w:hAnsi="Arial"/>
          <w:sz w:val="20"/>
          <w:szCs w:val="20"/>
        </w:rPr>
        <w:t xml:space="preserve">ABA: 063100277</w:t>
      </w:r>
    </w:p>
    <w:p>
      <w:pPr>
        <w:spacing w:after="0"/>
      </w:pPr>
      <w:r>
        <w:rPr>
          <w:rFonts w:ascii="Arial" w:cs="Arial" w:eastAsia="Arial" w:hAnsi="Arial"/>
          <w:sz w:val="20"/>
          <w:szCs w:val="20"/>
        </w:rPr>
        <w:t xml:space="preserve">Correspondent Banking Department</w:t>
      </w:r>
    </w:p>
    <w:p>
      <w:pPr>
        <w:spacing w:after="200"/>
      </w:pPr>
      <w:r>
        <w:rPr>
          <w:rFonts w:ascii="Arial" w:cs="Arial" w:eastAsia="Arial" w:hAnsi="Arial"/>
          <w:sz w:val="20"/>
          <w:szCs w:val="20"/>
        </w:rPr>
        <w:t xml:space="preserve">9 St. George’s St., Canterbury, CT1 2JX, United Kingdom</w:t>
      </w:r>
    </w:p>
    <w:p>
      <w:pPr>
        <w:spacing w:after="0"/>
      </w:pPr>
      <w:r>
        <w:rPr>
          <w:rFonts w:ascii="Arial" w:cs="Arial" w:eastAsia="Arial" w:hAnsi="Arial"/>
          <w:b/>
          <w:bCs/>
          <w:color w:val="1B5E20"/>
          <w:sz w:val="20"/>
          <w:szCs w:val="20"/>
        </w:rPr>
        <w:t xml:space="preserve">FROM:</w:t>
      </w:r>
    </w:p>
    <w:p>
      <w:pPr>
        <w:spacing w:after="0"/>
      </w:pPr>
      <w:r>
        <w:rPr>
          <w:rFonts w:ascii="Arial" w:cs="Arial" w:eastAsia="Arial" w:hAnsi="Arial"/>
          <w:b/>
          <w:bCs/>
          <w:sz w:val="20"/>
          <w:szCs w:val="20"/>
        </w:rPr>
        <w:t xml:space="preserve">Ierahkwa Ne Kanienke Government and its successors</w:t>
      </w:r>
    </w:p>
    <w:p>
      <w:pPr>
        <w:spacing w:after="0"/>
      </w:pPr>
      <w:r>
        <w:rPr>
          <w:rFonts w:ascii="Arial" w:cs="Arial" w:eastAsia="Arial" w:hAnsi="Arial"/>
          <w:sz w:val="20"/>
          <w:szCs w:val="20"/>
        </w:rPr>
        <w:t xml:space="preserve">Account Number: 898147979057</w:t>
      </w:r>
    </w:p>
    <w:p>
      <w:pPr>
        <w:spacing w:after="300"/>
      </w:pPr>
      <w:r>
        <w:rPr>
          <w:rFonts w:ascii="Arial" w:cs="Arial" w:eastAsia="Arial" w:hAnsi="Arial"/>
          <w:sz w:val="20"/>
          <w:szCs w:val="20"/>
        </w:rPr>
        <w:t xml:space="preserve">Account Name: RARAHKWISERE:OKWAHO, ROIANE, AND HIS SUCCESSORS, CORPORATION SOLE FOR AKWESASNE</w:t>
      </w:r>
    </w:p>
    <w:p>
      <w:pPr>
        <w:pBdr>
          <w:bottom w:val="single" w:color="1B5E20" w:sz="4" w:space="1"/>
        </w:pBdr>
        <w:spacing w:after="200"/>
      </w:pPr>
      <w:r>
        <w:rPr>
          <w:rFonts w:ascii="Arial" w:cs="Arial" w:eastAsia="Arial" w:hAnsi="Arial"/>
          <w:b/>
          <w:bCs/>
          <w:sz w:val="20"/>
          <w:szCs w:val="20"/>
        </w:rPr>
        <w:t xml:space="preserve">RE: IRREVOCABLE INSTRUCTION — TRANSFER OF EUR 49,200,000.00 TO SOVEREIGN BANKING JURISDICTION</w:t>
      </w:r>
    </w:p>
    <w:p>
      <w:pPr>
        <w:spacing w:after="150"/>
      </w:pPr>
      <w:r>
        <w:rPr>
          <w:rFonts w:ascii="Arial" w:cs="Arial" w:eastAsia="Arial" w:hAnsi="Arial"/>
          <w:sz w:val="20"/>
          <w:szCs w:val="20"/>
        </w:rPr>
        <w:t xml:space="preserve">Dear Sir/Madam,</w:t>
      </w:r>
    </w:p>
    <w:p>
      <w:pPr>
        <w:spacing w:after="150"/>
      </w:pPr>
      <w:r>
        <w:rPr>
          <w:rFonts w:ascii="Arial" w:cs="Arial" w:eastAsia="Arial" w:hAnsi="Arial"/>
          <w:sz w:val="20"/>
          <w:szCs w:val="20"/>
        </w:rPr>
        <w:t xml:space="preserve">We, the undersigned authorized signatories of the above-referenced account, hereby issue this IRREVOCABLE AND UNCONDITIONAL INSTRUCTION to Bank of America, N.A., acting in its capacity as Correspondent Bank, to immediately execute the transfer of funds as detailed below.</w:t>
      </w:r>
    </w:p>
    <w:p>
      <w:pPr>
        <w:pStyle w:val="Heading1"/>
      </w:pPr>
      <w:r>
        <w:rPr>
          <w:rFonts w:ascii="Arial" w:cs="Arial" w:eastAsia="Arial" w:hAnsi="Arial"/>
          <w:b/>
          <w:bCs/>
          <w:color w:val="1B5E20"/>
          <w:sz w:val="24"/>
          <w:szCs w:val="24"/>
        </w:rPr>
        <w:t xml:space="preserve">1. ORIGINAL TRANSACTION REFERENCE</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500"/>
        <w:gridCol w:w="6340"/>
      </w:tblGrid>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Message Type</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SWIFT MT202COV (FIN202COV)</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UETR</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8BF4261A-E38C-4FFC-B730-6DAAF5288B34</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Original Date</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May 5, 2025 — 10:45:07 GMT+2</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Transfer Number</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3518735962948351</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TX Reference</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5281N028H746KR72</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Amount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EUR 49,200,000.00 (FORTY NINE MILLION TWO HUNDRED THOUSAND EURO)</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Ordering Institution</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Deutsche Bank AG (DEUTDEDBFRA) — Celos Invest AG</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Agreement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GWI-DAL-05-05-2025-54</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Current Location</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CC0000"/>
                <w:sz w:val="20"/>
                <w:szCs w:val="20"/>
              </w:rPr>
              <w:t xml:space="preserve">Bank of America — Account 898147979057</w:t>
            </w:r>
          </w:p>
        </w:tc>
      </w:tr>
      <w:tr>
        <w:tc>
          <w:tcPr>
            <w:tcW w:type="dxa" w:w="350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Network Status</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ACK CONFIRMED — TRANSMISSION: OK</w:t>
            </w:r>
          </w:p>
        </w:tc>
      </w:tr>
    </w:tbl>
    <w:p>
      <w:pPr>
        <w:spacing w:before="300"/>
      </w:pPr>
    </w:p>
    <w:p>
      <w:pPr>
        <w:pStyle w:val="Heading1"/>
      </w:pPr>
      <w:r>
        <w:rPr>
          <w:rFonts w:ascii="Arial" w:cs="Arial" w:eastAsia="Arial" w:hAnsi="Arial"/>
          <w:b/>
          <w:bCs/>
          <w:color w:val="1B5E20"/>
          <w:sz w:val="24"/>
          <w:szCs w:val="24"/>
        </w:rPr>
        <w:t xml:space="preserve">2. TRANSFER INSTRUCTION — CALLBACK TO SOVEREIGN JURISDICTION</w:t>
      </w:r>
    </w:p>
    <w:p>
      <w:pPr>
        <w:spacing w:after="150"/>
      </w:pPr>
      <w:r>
        <w:rPr>
          <w:rFonts w:ascii="Arial" w:cs="Arial" w:eastAsia="Arial" w:hAnsi="Arial"/>
          <w:sz w:val="20"/>
          <w:szCs w:val="20"/>
        </w:rPr>
        <w:t xml:space="preserve">We hereby instruct Bank of America, N.A. to transfer the full amount of EUR 49,200,000.00 from the above-referenced account to our sovereign banking institution as follows:</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3500"/>
        <w:gridCol w:w="6340"/>
      </w:tblGrid>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E65100"/>
                <w:sz w:val="20"/>
                <w:szCs w:val="20"/>
              </w:rPr>
              <w:t xml:space="preserve">BENEFICIARY BANK</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Digital Commercial Bank Ltd.</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BIC/SWIFT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GEEIGB22XXX</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IBAN</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GB49GEEI04276701099100</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LEI</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254900KLR17QIS1G6I63</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Beneficiary Account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Future BDET Bank — SICB Subsidiary</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Beneficiary Name</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Ierahkwa Ne Kanienke Government and its successors</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DAES Custody Account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DAES-BK-EUR-1000002</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Settlement Method</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INDA — Instructed by Direct Agent | ISO 20022 | M1 Real-Time</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Currency</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EUR (Euro)</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Amount</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EUR 49,200,000.00 (FULL AMOUNT — NO DEDUCTIONS)</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Value Date</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IMMEDIATE — Same Day Value (T+0)</w:t>
            </w:r>
          </w:p>
        </w:tc>
      </w:tr>
      <w:tr>
        <w:tc>
          <w:tcPr>
            <w:tcW w:type="dxa" w:w="3500"/>
            <w:tcBorders>
              <w:top w:val="single" w:color="999999" w:sz="1"/>
              <w:left w:val="single" w:color="999999" w:sz="1"/>
              <w:bottom w:val="single" w:color="999999" w:sz="1"/>
              <w:right w:val="single" w:color="999999" w:sz="1"/>
            </w:tcBorders>
            <w:shd w:fill="FFF3E0" w:val="clear"/>
            <w:tcMar>
              <w:top w:type="dxa" w:w="60"/>
              <w:left w:type="dxa" w:w="100"/>
              <w:bottom w:type="dxa" w:w="60"/>
              <w:right w:type="dxa" w:w="100"/>
            </w:tcMar>
            <w:vAlign w:val="center"/>
          </w:tcPr>
          <w:p>
            <w:pPr>
              <w:jc w:val="left"/>
            </w:pPr>
            <w:r>
              <w:rPr>
                <w:rFonts w:ascii="Arial" w:cs="Arial" w:eastAsia="Arial" w:hAnsi="Arial"/>
                <w:b/>
                <w:bCs/>
                <w:color w:val="000000"/>
                <w:sz w:val="20"/>
                <w:szCs w:val="20"/>
              </w:rPr>
              <w:t xml:space="preserve">Charges</w:t>
            </w:r>
          </w:p>
        </w:tc>
        <w:tc>
          <w:tcPr>
            <w:tcW w:type="dxa" w:w="634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OUR (All charges to be borne by ordering party)</w:t>
            </w:r>
          </w:p>
        </w:tc>
      </w:tr>
    </w:tbl>
    <w:p>
      <w:pPr>
        <w:spacing w:before="300"/>
      </w:pPr>
    </w:p>
    <w:p>
      <w:pPr>
        <w:pStyle w:val="Heading1"/>
      </w:pPr>
      <w:r>
        <w:rPr>
          <w:rFonts w:ascii="Arial" w:cs="Arial" w:eastAsia="Arial" w:hAnsi="Arial"/>
          <w:b/>
          <w:bCs/>
          <w:color w:val="1B5E20"/>
          <w:sz w:val="24"/>
          <w:szCs w:val="24"/>
        </w:rPr>
        <w:t xml:space="preserve">3. LEGAL BASIS &amp; AUTHORITY</w:t>
      </w:r>
    </w:p>
    <w:p>
      <w:pPr>
        <w:spacing w:after="120"/>
      </w:pPr>
      <w:r>
        <w:rPr>
          <w:rFonts w:ascii="Arial" w:cs="Arial" w:eastAsia="Arial" w:hAnsi="Arial"/>
          <w:sz w:val="20"/>
          <w:szCs w:val="20"/>
        </w:rPr>
        <w:t xml:space="preserve">This instruction is issued under the following authority:</w:t>
      </w:r>
    </w:p>
    <w:p>
      <w:pPr>
        <w:spacing w:after="80"/>
      </w:pPr>
      <w:r>
        <w:rPr>
          <w:rFonts w:ascii="Arial" w:cs="Arial" w:eastAsia="Arial" w:hAnsi="Arial"/>
          <w:b/>
          <w:bCs/>
          <w:sz w:val="20"/>
          <w:szCs w:val="20"/>
        </w:rPr>
        <w:t xml:space="preserve">a) </w:t>
      </w:r>
      <w:r>
        <w:rPr>
          <w:rFonts w:ascii="Arial" w:cs="Arial" w:eastAsia="Arial" w:hAnsi="Arial"/>
          <w:sz w:val="20"/>
          <w:szCs w:val="20"/>
        </w:rPr>
        <w:t xml:space="preserve">The original MT202COV dated May 5, 2025, issued by Deutsche Bank AG on behalf of Celos Invest AG, designates the funds as an “unconditional, irrevocable, assignable, transferable and callable cash backed standing SWIFT MT103 wire transfer” in favor of the account holder.</w:t>
      </w:r>
    </w:p>
    <w:p>
      <w:pPr>
        <w:spacing w:after="80"/>
      </w:pPr>
      <w:r>
        <w:rPr>
          <w:rFonts w:ascii="Arial" w:cs="Arial" w:eastAsia="Arial" w:hAnsi="Arial"/>
          <w:b/>
          <w:bCs/>
          <w:sz w:val="20"/>
          <w:szCs w:val="20"/>
        </w:rPr>
        <w:t xml:space="preserve">b) </w:t>
      </w:r>
      <w:r>
        <w:rPr>
          <w:rFonts w:ascii="Arial" w:cs="Arial" w:eastAsia="Arial" w:hAnsi="Arial"/>
          <w:sz w:val="20"/>
          <w:szCs w:val="20"/>
        </w:rPr>
        <w:t xml:space="preserve">As the designated beneficiary and authorized account holder (898147979057), we exercise our right to instruct the disposition of these funds to our sovereign banking jurisdiction.</w:t>
      </w:r>
    </w:p>
    <w:p>
      <w:pPr>
        <w:spacing w:after="80"/>
      </w:pPr>
      <w:r>
        <w:rPr>
          <w:rFonts w:ascii="Arial" w:cs="Arial" w:eastAsia="Arial" w:hAnsi="Arial"/>
          <w:b/>
          <w:bCs/>
          <w:sz w:val="20"/>
          <w:szCs w:val="20"/>
        </w:rPr>
        <w:t xml:space="preserve">c) </w:t>
      </w:r>
      <w:r>
        <w:rPr>
          <w:rFonts w:ascii="Arial" w:cs="Arial" w:eastAsia="Arial" w:hAnsi="Arial"/>
          <w:sz w:val="20"/>
          <w:szCs w:val="20"/>
        </w:rPr>
        <w:t xml:space="preserve">The transfer complies with all applicable International Remittance Regulations as stated in the original instrument.</w:t>
      </w:r>
    </w:p>
    <w:p>
      <w:pPr>
        <w:spacing w:after="200"/>
      </w:pPr>
      <w:r>
        <w:rPr>
          <w:rFonts w:ascii="Arial" w:cs="Arial" w:eastAsia="Arial" w:hAnsi="Arial"/>
          <w:b/>
          <w:bCs/>
          <w:sz w:val="20"/>
          <w:szCs w:val="20"/>
        </w:rPr>
        <w:t xml:space="preserve">d) </w:t>
      </w:r>
      <w:r>
        <w:rPr>
          <w:rFonts w:ascii="Arial" w:cs="Arial" w:eastAsia="Arial" w:hAnsi="Arial"/>
          <w:sz w:val="20"/>
          <w:szCs w:val="20"/>
        </w:rPr>
        <w:t xml:space="preserve">Agreement reference: GWI-DAL-05-05-2025-54, executed and authenticated by Deutsche Bank AG, Frankfurt am Main.</w:t>
      </w:r>
    </w:p>
    <w:p>
      <w:pPr>
        <w:pStyle w:val="Heading1"/>
      </w:pPr>
      <w:r>
        <w:rPr>
          <w:rFonts w:ascii="Arial" w:cs="Arial" w:eastAsia="Arial" w:hAnsi="Arial"/>
          <w:b/>
          <w:bCs/>
          <w:color w:val="1B5E20"/>
          <w:sz w:val="24"/>
          <w:szCs w:val="24"/>
        </w:rPr>
        <w:t xml:space="preserve">4. CONFIRMATION REQUIRED</w:t>
      </w:r>
    </w:p>
    <w:p>
      <w:pPr>
        <w:spacing w:after="120"/>
      </w:pPr>
      <w:r>
        <w:rPr>
          <w:rFonts w:ascii="Arial" w:cs="Arial" w:eastAsia="Arial" w:hAnsi="Arial"/>
          <w:sz w:val="20"/>
          <w:szCs w:val="20"/>
        </w:rPr>
        <w:t xml:space="preserve">Upon execution, Bank of America shall provide:</w:t>
      </w:r>
    </w:p>
    <w:p>
      <w:pPr>
        <w:spacing w:after="60"/>
      </w:pPr>
      <w:r>
        <w:rPr>
          <w:rFonts w:ascii="Arial" w:cs="Arial" w:eastAsia="Arial" w:hAnsi="Arial"/>
          <w:sz w:val="20"/>
          <w:szCs w:val="20"/>
        </w:rPr>
        <w:t xml:space="preserve">1. SWIFT MT103 confirmation of outgoing transfer with new UETR</w:t>
      </w:r>
    </w:p>
    <w:p>
      <w:pPr>
        <w:spacing w:after="60"/>
      </w:pPr>
      <w:r>
        <w:rPr>
          <w:rFonts w:ascii="Arial" w:cs="Arial" w:eastAsia="Arial" w:hAnsi="Arial"/>
          <w:sz w:val="20"/>
          <w:szCs w:val="20"/>
        </w:rPr>
        <w:t xml:space="preserve">2. Debit advice for account 898147979057</w:t>
      </w:r>
    </w:p>
    <w:p>
      <w:pPr>
        <w:spacing w:after="60"/>
      </w:pPr>
      <w:r>
        <w:rPr>
          <w:rFonts w:ascii="Arial" w:cs="Arial" w:eastAsia="Arial" w:hAnsi="Arial"/>
          <w:sz w:val="20"/>
          <w:szCs w:val="20"/>
        </w:rPr>
        <w:t xml:space="preserve">3. Confirmation of value date and settlement</w:t>
      </w:r>
    </w:p>
    <w:p>
      <w:pPr>
        <w:spacing w:after="300"/>
      </w:pPr>
      <w:r>
        <w:rPr>
          <w:rFonts w:ascii="Arial" w:cs="Arial" w:eastAsia="Arial" w:hAnsi="Arial"/>
          <w:sz w:val="20"/>
          <w:szCs w:val="20"/>
        </w:rPr>
        <w:t xml:space="preserve">4. Any applicable compliance clearance documentation</w:t>
      </w:r>
    </w:p>
    <w:p>
      <w:pPr>
        <w:pStyle w:val="Heading1"/>
      </w:pPr>
      <w:r>
        <w:rPr>
          <w:rFonts w:ascii="Arial" w:cs="Arial" w:eastAsia="Arial" w:hAnsi="Arial"/>
          <w:b/>
          <w:bCs/>
          <w:color w:val="1B5E20"/>
          <w:sz w:val="24"/>
          <w:szCs w:val="24"/>
        </w:rPr>
        <w:t xml:space="preserve">5. AUTHORIZED SIGNATORIES</w:t>
      </w:r>
    </w:p>
    <w:p>
      <w:pPr>
        <w:spacing w:after="100"/>
      </w:pPr>
      <w:r>
        <w:rPr>
          <w:rFonts w:ascii="Arial" w:cs="Arial" w:eastAsia="Arial" w:hAnsi="Arial"/>
          <w:sz w:val="20"/>
          <w:szCs w:val="20"/>
        </w:rPr>
        <w:t xml:space="preserve">This instruction is duly authorized by the following signatories of the account:</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4920"/>
        <w:gridCol w:w="4920"/>
      </w:tblGrid>
      <w:tr>
        <w:tc>
          <w:tcPr>
            <w:tcW w:type="dxa" w:w="492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SIGNATORY 1 — CEO</w:t>
            </w:r>
          </w:p>
        </w:tc>
        <w:tc>
          <w:tcPr>
            <w:tcW w:type="dxa" w:w="4920"/>
            <w:tcBorders>
              <w:top w:val="single" w:color="999999" w:sz="1"/>
              <w:left w:val="single" w:color="999999" w:sz="1"/>
              <w:bottom w:val="single" w:color="999999" w:sz="1"/>
              <w:right w:val="single" w:color="999999" w:sz="1"/>
            </w:tcBorders>
            <w:shd w:fill="E8F5E9" w:val="clear"/>
            <w:tcMar>
              <w:top w:type="dxa" w:w="60"/>
              <w:left w:type="dxa" w:w="100"/>
              <w:bottom w:type="dxa" w:w="60"/>
              <w:right w:type="dxa" w:w="100"/>
            </w:tcMar>
            <w:vAlign w:val="center"/>
          </w:tcPr>
          <w:p>
            <w:pPr>
              <w:jc w:val="left"/>
            </w:pPr>
            <w:r>
              <w:rPr>
                <w:rFonts w:ascii="Arial" w:cs="Arial" w:eastAsia="Arial" w:hAnsi="Arial"/>
                <w:b/>
                <w:bCs/>
                <w:color w:val="1B5E20"/>
                <w:sz w:val="20"/>
                <w:szCs w:val="20"/>
              </w:rPr>
              <w:t xml:space="preserve">SIGNATORY 2 — CFO</w:t>
            </w:r>
          </w:p>
        </w:tc>
      </w:tr>
      <w:tr>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
            </w:r>
          </w:p>
        </w:tc>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
            </w:r>
          </w:p>
        </w:tc>
      </w:tr>
      <w:tr>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
            </w:r>
          </w:p>
        </w:tc>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left"/>
            </w:pPr>
            <w:r>
              <w:rPr>
                <w:rFonts w:ascii="Arial" w:cs="Arial" w:eastAsia="Arial" w:hAnsi="Arial"/>
                <w:b w:val="false"/>
                <w:bCs w:val="false"/>
                <w:color w:val="000000"/>
                <w:sz w:val="20"/>
                <w:szCs w:val="20"/>
              </w:rPr>
              <w:t xml:space="preserve"/>
            </w:r>
          </w:p>
        </w:tc>
      </w:tr>
      <w:tr>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val="false"/>
                <w:bCs w:val="false"/>
                <w:color w:val="000000"/>
                <w:sz w:val="20"/>
                <w:szCs w:val="20"/>
              </w:rPr>
              <w:t xml:space="preserve">____________________________</w:t>
            </w:r>
          </w:p>
        </w:tc>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val="false"/>
                <w:bCs w:val="false"/>
                <w:color w:val="000000"/>
                <w:sz w:val="20"/>
                <w:szCs w:val="20"/>
              </w:rPr>
              <w:t xml:space="preserve">____________________________</w:t>
            </w:r>
          </w:p>
        </w:tc>
      </w:tr>
      <w:tr>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bCs/>
                <w:sz w:val="20"/>
                <w:szCs w:val="20"/>
              </w:rPr>
              <w:t xml:space="preserve">Tu’ilzish / Roque Chavez</w:t>
            </w:r>
          </w:p>
        </w:tc>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bCs/>
                <w:sz w:val="20"/>
                <w:szCs w:val="20"/>
              </w:rPr>
              <w:t xml:space="preserve">TakodaAhanu / Ruddie Sinigaglia Lopez</w:t>
            </w:r>
          </w:p>
        </w:tc>
      </w:tr>
      <w:tr>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val="false"/>
                <w:bCs w:val="false"/>
                <w:color w:val="666666"/>
                <w:sz w:val="20"/>
                <w:szCs w:val="20"/>
              </w:rPr>
              <w:t xml:space="preserve">Chief Executive Officer</w:t>
            </w:r>
          </w:p>
        </w:tc>
        <w:tc>
          <w:tcPr>
            <w:tcW w:type="dxa" w:w="4920"/>
            <w:tcBorders>
              <w:top w:val="single" w:color="999999" w:sz="1"/>
              <w:left w:val="single" w:color="999999" w:sz="1"/>
              <w:bottom w:val="single" w:color="999999" w:sz="1"/>
              <w:right w:val="single" w:color="999999" w:sz="1"/>
            </w:tcBorders>
            <w:tcMar>
              <w:top w:type="dxa" w:w="60"/>
              <w:left w:type="dxa" w:w="100"/>
              <w:bottom w:type="dxa" w:w="60"/>
              <w:right w:type="dxa" w:w="100"/>
            </w:tcMar>
            <w:vAlign w:val="center"/>
          </w:tcPr>
          <w:p>
            <w:pPr>
              <w:jc w:val="center"/>
            </w:pPr>
            <w:r>
              <w:rPr>
                <w:rFonts w:ascii="Arial" w:cs="Arial" w:eastAsia="Arial" w:hAnsi="Arial"/>
                <w:b w:val="false"/>
                <w:bCs w:val="false"/>
                <w:color w:val="666666"/>
                <w:sz w:val="20"/>
                <w:szCs w:val="20"/>
              </w:rPr>
              <w:t xml:space="preserve">Chief Financial Officer</w:t>
            </w:r>
          </w:p>
        </w:tc>
      </w:tr>
    </w:tbl>
    <w:p>
      <w:pPr>
        <w:spacing w:before="400"/>
      </w:pPr>
    </w:p>
    <w:p>
      <w:pPr>
        <w:pBdr>
          <w:top w:val="single" w:color="1B5E20" w:sz="4" w:space="1"/>
        </w:pBdr>
        <w:spacing w:after="100"/>
      </w:pPr>
      <w:r>
        <w:rPr>
          <w:rFonts w:ascii="Arial" w:cs="Arial" w:eastAsia="Arial" w:hAnsi="Arial"/>
          <w:b/>
          <w:bCs/>
          <w:color w:val="666666"/>
          <w:sz w:val="18"/>
          <w:szCs w:val="18"/>
        </w:rPr>
        <w:t xml:space="preserve">NOTARIZATION / WITNESS (if required by correspondent bank):</w:t>
      </w:r>
    </w:p>
    <w:p>
      <w:pPr>
        <w:spacing w:after="0"/>
      </w:pPr>
      <w:r>
        <w:rPr>
          <w:rFonts w:ascii="Arial" w:cs="Arial" w:eastAsia="Arial" w:hAnsi="Arial"/>
          <w:color w:val="666666"/>
          <w:sz w:val="18"/>
          <w:szCs w:val="18"/>
        </w:rPr>
        <w:t xml:space="preserve">Witness Name: ____________________________    Date: ____________________________</w:t>
      </w:r>
    </w:p>
    <w:p>
      <w:pPr>
        <w:spacing w:after="0"/>
      </w:pPr>
      <w:r>
        <w:rPr>
          <w:rFonts w:ascii="Arial" w:cs="Arial" w:eastAsia="Arial" w:hAnsi="Arial"/>
          <w:color w:val="666666"/>
          <w:sz w:val="18"/>
          <w:szCs w:val="18"/>
        </w:rPr>
        <w:t xml:space="preserve">Witness Signature: ____________________________</w:t>
      </w:r>
    </w:p>
    <w:sectPr>
      <w:headerReference w:type="default" r:id="rId7"/>
      <w:footerReference w:type="default" r:id="rId8"/>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5E20" w:sz="4" w:space="1"/>
      </w:pBdr>
      <w:jc w:val="center"/>
    </w:pPr>
    <w:r>
      <w:rPr>
        <w:rFonts w:ascii="Arial" w:cs="Arial" w:eastAsia="Arial" w:hAnsi="Arial"/>
        <w:color w:val="999999"/>
        <w:sz w:val="14"/>
        <w:szCs w:val="14"/>
      </w:rPr>
      <w:t xml:space="preserve">CONFIDENTIAL — BANKING INSTRUCTION | </w:t>
    </w:r>
    <w:r>
      <w:rPr>
        <w:rFonts w:ascii="Arial" w:cs="Arial" w:eastAsia="Arial" w:hAnsi="Arial"/>
        <w:color w:val="999999"/>
        <w:sz w:val="14"/>
        <w:szCs w:val="14"/>
      </w:rPr>
      <w:t xml:space="preserve">Page </w:t>
    </w:r>
    <w:r>
      <w:rPr>
        <w:rFonts w:ascii="Arial" w:cs="Arial" w:eastAsia="Arial" w:hAnsi="Arial"/>
        <w:color w:val="999999"/>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Arial" w:cs="Arial" w:eastAsia="Arial" w:hAnsi="Arial"/>
        <w:b/>
        <w:bCs/>
        <w:color w:val="1B5E20"/>
        <w:sz w:val="18"/>
        <w:szCs w:val="18"/>
      </w:rPr>
      <w:t xml:space="preserve">IERAHKWA NE KANIENKE GOVERNMENT AND ITS SUCCESSORS</w:t>
    </w:r>
  </w:p>
  <w:p>
    <w:pPr>
      <w:spacing w:after="0"/>
      <w:jc w:val="center"/>
    </w:pPr>
    <w:r>
      <w:rPr>
        <w:rFonts w:ascii="Arial" w:cs="Arial" w:eastAsia="Arial" w:hAnsi="Arial"/>
        <w:color w:val="666666"/>
        <w:sz w:val="14"/>
        <w:szCs w:val="14"/>
      </w:rPr>
      <w:t xml:space="preserve">Ministry of Finance | BDET Bank | License SAGMFIN-20170923-001</w:t>
    </w:r>
  </w:p>
  <w:p>
    <w:pPr>
      <w:pBdr>
        <w:bottom w:val="single" w:color="1B5E20" w:sz="6" w:space="1"/>
      </w:pBdr>
      <w:spacing w:after="200"/>
      <w:jc w:val="center"/>
    </w:pPr>
    <w:r>
      <w:rPr>
        <w:rFonts w:ascii="Arial" w:cs="Arial" w:eastAsia="Arial" w:hAnsi="Arial"/>
        <w:color w:val="666666"/>
        <w:sz w:val="14"/>
        <w:szCs w:val="14"/>
      </w:rPr>
      <w:t xml:space="preserve">Entity E-0374092011-7 | Nevada, USA | Est. June 30,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2026-04-12T21:57:58.095Z</dcterms:created>
  <dcterms:modified xsi:type="dcterms:W3CDTF">2026-04-12T21:57:58.096Z</dcterms:modified>
</cp:coreProperties>
</file>

<file path=docProps/custom.xml><?xml version="1.0" encoding="utf-8"?>
<Properties xmlns="http://schemas.openxmlformats.org/officeDocument/2006/custom-properties" xmlns:vt="http://schemas.openxmlformats.org/officeDocument/2006/docPropsVTypes"/>
</file>